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2167D9">
      <w:pPr>
        <w:spacing w:line="264" w:lineRule="auto"/>
        <w:rPr>
          <w:rFonts w:ascii="Arial"/>
          <w:sz w:val="21"/>
        </w:rPr>
      </w:pPr>
    </w:p>
    <w:p w14:paraId="730BE5CB">
      <w:pPr>
        <w:spacing w:before="100" w:line="230" w:lineRule="auto"/>
        <w:ind w:left="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4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4"/>
          <w:sz w:val="31"/>
          <w:szCs w:val="31"/>
        </w:rPr>
        <w:t>1</w:t>
      </w:r>
    </w:p>
    <w:p w14:paraId="6C6C6019">
      <w:pPr>
        <w:spacing w:line="247" w:lineRule="auto"/>
        <w:rPr>
          <w:rFonts w:ascii="Arial"/>
          <w:sz w:val="21"/>
        </w:rPr>
      </w:pPr>
    </w:p>
    <w:p w14:paraId="42C2BA39">
      <w:pPr>
        <w:spacing w:before="160" w:line="653" w:lineRule="exact"/>
        <w:jc w:val="right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position w:val="4"/>
          <w:sz w:val="43"/>
          <w:szCs w:val="43"/>
        </w:rPr>
        <w:t>河南省教育科学规划 2025 年度专项</w:t>
      </w:r>
      <w:r>
        <w:rPr>
          <w:rFonts w:ascii="方正小标宋简体" w:hAnsi="方正小标宋简体" w:eastAsia="方正小标宋简体" w:cs="方正小标宋简体"/>
          <w:spacing w:val="8"/>
          <w:position w:val="4"/>
          <w:sz w:val="43"/>
          <w:szCs w:val="43"/>
        </w:rPr>
        <w:t>课题指南</w:t>
      </w:r>
    </w:p>
    <w:p w14:paraId="6F76C5A3">
      <w:pPr>
        <w:spacing w:line="286" w:lineRule="auto"/>
        <w:rPr>
          <w:rFonts w:ascii="Arial"/>
          <w:sz w:val="21"/>
        </w:rPr>
      </w:pPr>
    </w:p>
    <w:p w14:paraId="112B07B4">
      <w:pPr>
        <w:spacing w:line="286" w:lineRule="auto"/>
        <w:rPr>
          <w:rFonts w:ascii="Arial"/>
          <w:sz w:val="21"/>
        </w:rPr>
      </w:pPr>
    </w:p>
    <w:p w14:paraId="7E77AFD8">
      <w:pPr>
        <w:spacing w:before="100" w:line="226" w:lineRule="auto"/>
        <w:ind w:left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一、普通高中育人方式改革专项课题指南</w:t>
      </w:r>
    </w:p>
    <w:p w14:paraId="6B522E0D">
      <w:pPr>
        <w:pStyle w:val="2"/>
        <w:spacing w:before="209" w:line="219" w:lineRule="auto"/>
        <w:ind w:left="647"/>
      </w:pPr>
      <w:r>
        <w:rPr>
          <w:spacing w:val="7"/>
        </w:rPr>
        <w:t>1.普通高中多样化特色发展实践研究</w:t>
      </w:r>
    </w:p>
    <w:p w14:paraId="0E268921">
      <w:pPr>
        <w:pStyle w:val="2"/>
        <w:spacing w:before="218" w:line="219" w:lineRule="auto"/>
        <w:ind w:left="639"/>
      </w:pPr>
      <w:r>
        <w:rPr>
          <w:spacing w:val="8"/>
        </w:rPr>
        <w:t>2.扩大优质普通高中教育资源路径研究</w:t>
      </w:r>
    </w:p>
    <w:p w14:paraId="1F7CC8F3">
      <w:pPr>
        <w:pStyle w:val="2"/>
        <w:spacing w:before="220" w:line="219" w:lineRule="auto"/>
        <w:ind w:left="652"/>
      </w:pPr>
      <w:r>
        <w:rPr>
          <w:spacing w:val="7"/>
        </w:rPr>
        <w:t>3.普通高中优质特色学科建设研究</w:t>
      </w:r>
    </w:p>
    <w:p w14:paraId="11D13EE3">
      <w:pPr>
        <w:pStyle w:val="2"/>
        <w:spacing w:before="217" w:line="220" w:lineRule="auto"/>
        <w:ind w:left="638"/>
      </w:pPr>
      <w:r>
        <w:rPr>
          <w:spacing w:val="8"/>
        </w:rPr>
        <w:t>4.普通高中新课程新教材教学的策略创新研究</w:t>
      </w:r>
    </w:p>
    <w:p w14:paraId="196832F4">
      <w:pPr>
        <w:pStyle w:val="2"/>
        <w:spacing w:before="219" w:line="219" w:lineRule="auto"/>
        <w:ind w:left="643"/>
      </w:pPr>
      <w:r>
        <w:rPr>
          <w:spacing w:val="8"/>
        </w:rPr>
        <w:t>5.普通高中学校办学质量科学评价研究</w:t>
      </w:r>
    </w:p>
    <w:p w14:paraId="2BCB0592">
      <w:pPr>
        <w:pStyle w:val="2"/>
        <w:spacing w:before="221" w:line="219" w:lineRule="auto"/>
        <w:ind w:left="642"/>
      </w:pPr>
      <w:r>
        <w:rPr>
          <w:spacing w:val="8"/>
        </w:rPr>
        <w:t>6.县域普通高中优化资源配置研究</w:t>
      </w:r>
    </w:p>
    <w:p w14:paraId="4A107866">
      <w:pPr>
        <w:pStyle w:val="2"/>
        <w:spacing w:before="218" w:line="219" w:lineRule="auto"/>
        <w:ind w:left="642"/>
      </w:pPr>
      <w:r>
        <w:rPr>
          <w:spacing w:val="8"/>
        </w:rPr>
        <w:t>7.提升县域普通高中办学水平问题研究</w:t>
      </w:r>
    </w:p>
    <w:p w14:paraId="313A17D0">
      <w:pPr>
        <w:pStyle w:val="2"/>
        <w:spacing w:before="220" w:line="219" w:lineRule="auto"/>
        <w:ind w:left="642"/>
      </w:pPr>
      <w:r>
        <w:rPr>
          <w:spacing w:val="7"/>
        </w:rPr>
        <w:t>8.综合高中建设路径研究</w:t>
      </w:r>
    </w:p>
    <w:p w14:paraId="4B782F5E">
      <w:pPr>
        <w:pStyle w:val="2"/>
        <w:spacing w:before="220" w:line="219" w:lineRule="auto"/>
        <w:ind w:left="642"/>
      </w:pPr>
      <w:r>
        <w:rPr>
          <w:spacing w:val="7"/>
        </w:rPr>
        <w:t>9.科技高中发展模式研究</w:t>
      </w:r>
    </w:p>
    <w:p w14:paraId="63455935">
      <w:pPr>
        <w:spacing w:before="217" w:line="226" w:lineRule="auto"/>
        <w:ind w:left="63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二、特殊教育发展提升行动专项课题指南</w:t>
      </w:r>
    </w:p>
    <w:p w14:paraId="184C37A5">
      <w:pPr>
        <w:pStyle w:val="2"/>
        <w:spacing w:before="210" w:line="218" w:lineRule="auto"/>
        <w:ind w:left="647"/>
      </w:pPr>
      <w:r>
        <w:rPr>
          <w:spacing w:val="7"/>
        </w:rPr>
        <w:t>1.健全我省特殊教育体系问题研究</w:t>
      </w:r>
    </w:p>
    <w:p w14:paraId="4CAABB3A">
      <w:pPr>
        <w:pStyle w:val="2"/>
        <w:spacing w:before="219" w:line="219" w:lineRule="auto"/>
        <w:ind w:left="639"/>
      </w:pPr>
      <w:r>
        <w:rPr>
          <w:spacing w:val="8"/>
        </w:rPr>
        <w:t>2.提高我省残疾儿童义务教育普及水平研究</w:t>
      </w:r>
    </w:p>
    <w:p w14:paraId="1F641374">
      <w:pPr>
        <w:pStyle w:val="2"/>
        <w:spacing w:before="221" w:line="218" w:lineRule="auto"/>
        <w:ind w:left="652"/>
      </w:pPr>
      <w:r>
        <w:rPr>
          <w:spacing w:val="7"/>
        </w:rPr>
        <w:t>3.促进我省特殊教育内涵发展研究</w:t>
      </w:r>
    </w:p>
    <w:p w14:paraId="4DC7FFF3">
      <w:pPr>
        <w:pStyle w:val="2"/>
        <w:spacing w:before="216" w:line="220" w:lineRule="auto"/>
        <w:ind w:left="638"/>
      </w:pPr>
      <w:r>
        <w:rPr>
          <w:spacing w:val="8"/>
        </w:rPr>
        <w:t>4.完善我省特殊教育保障机制研究</w:t>
      </w:r>
    </w:p>
    <w:p w14:paraId="588AA53A">
      <w:pPr>
        <w:pStyle w:val="2"/>
        <w:spacing w:before="219" w:line="220" w:lineRule="auto"/>
        <w:ind w:left="643"/>
      </w:pPr>
      <w:r>
        <w:rPr>
          <w:spacing w:val="8"/>
        </w:rPr>
        <w:t>5.非义务教育阶段特殊教育发展问题研究</w:t>
      </w:r>
    </w:p>
    <w:p w14:paraId="7795A1BC">
      <w:pPr>
        <w:pStyle w:val="2"/>
        <w:spacing w:before="221" w:line="218" w:lineRule="auto"/>
        <w:ind w:left="642"/>
      </w:pPr>
      <w:r>
        <w:rPr>
          <w:spacing w:val="8"/>
        </w:rPr>
        <w:t>6.特殊教育和普通、职业教育融合问题研究</w:t>
      </w:r>
    </w:p>
    <w:p w14:paraId="3A67F4C1">
      <w:pPr>
        <w:pStyle w:val="2"/>
        <w:spacing w:before="220" w:line="218" w:lineRule="auto"/>
        <w:ind w:left="642"/>
      </w:pPr>
      <w:r>
        <w:rPr>
          <w:spacing w:val="8"/>
        </w:rPr>
        <w:t>7.特殊教育办学质量科学评价研究</w:t>
      </w:r>
    </w:p>
    <w:p w14:paraId="122DBDC6">
      <w:pPr>
        <w:spacing w:line="218" w:lineRule="auto"/>
        <w:sectPr>
          <w:footerReference r:id="rId5" w:type="default"/>
          <w:pgSz w:w="11906" w:h="16838"/>
          <w:pgMar w:top="1431" w:right="1566" w:bottom="1750" w:left="1557" w:header="0" w:footer="1359" w:gutter="0"/>
          <w:cols w:space="720" w:num="1"/>
        </w:sectPr>
      </w:pPr>
    </w:p>
    <w:p w14:paraId="00C8BDC8">
      <w:pPr>
        <w:spacing w:line="263" w:lineRule="auto"/>
        <w:rPr>
          <w:rFonts w:ascii="Arial"/>
          <w:sz w:val="21"/>
        </w:rPr>
      </w:pPr>
    </w:p>
    <w:p w14:paraId="5B58372A">
      <w:pPr>
        <w:spacing w:line="264" w:lineRule="auto"/>
        <w:rPr>
          <w:rFonts w:ascii="Arial"/>
          <w:sz w:val="21"/>
        </w:rPr>
      </w:pPr>
    </w:p>
    <w:p w14:paraId="618C2F0F">
      <w:pPr>
        <w:spacing w:before="101" w:line="226" w:lineRule="auto"/>
        <w:ind w:left="40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三、省名师培育专项课题指南</w:t>
      </w:r>
    </w:p>
    <w:p w14:paraId="199DC46E">
      <w:pPr>
        <w:pStyle w:val="2"/>
        <w:spacing w:before="208" w:line="219" w:lineRule="auto"/>
        <w:ind w:left="418"/>
      </w:pPr>
      <w:r>
        <w:rPr>
          <w:spacing w:val="7"/>
        </w:rPr>
        <w:t>1.弘扬践行教育家精神路径研究</w:t>
      </w:r>
    </w:p>
    <w:p w14:paraId="1140639F">
      <w:pPr>
        <w:pStyle w:val="2"/>
        <w:spacing w:before="215" w:line="220" w:lineRule="auto"/>
        <w:ind w:left="410"/>
      </w:pPr>
      <w:r>
        <w:rPr>
          <w:spacing w:val="8"/>
        </w:rPr>
        <w:t>2.名师成长规律及培育支持服务体系建设研究</w:t>
      </w:r>
    </w:p>
    <w:p w14:paraId="07628479">
      <w:pPr>
        <w:pStyle w:val="2"/>
        <w:spacing w:before="221" w:line="219" w:lineRule="auto"/>
        <w:ind w:left="423"/>
      </w:pPr>
      <w:r>
        <w:rPr>
          <w:spacing w:val="7"/>
        </w:rPr>
        <w:t>3.新时代中小学教师核心素养研究</w:t>
      </w:r>
    </w:p>
    <w:p w14:paraId="465D8554">
      <w:pPr>
        <w:pStyle w:val="2"/>
        <w:spacing w:before="220" w:line="219" w:lineRule="auto"/>
        <w:ind w:left="409"/>
      </w:pPr>
      <w:r>
        <w:rPr>
          <w:spacing w:val="9"/>
        </w:rPr>
        <w:t>4.基于某学科的“教学评一致性”教学实</w:t>
      </w:r>
      <w:r>
        <w:rPr>
          <w:spacing w:val="8"/>
        </w:rPr>
        <w:t>践研究</w:t>
      </w:r>
    </w:p>
    <w:p w14:paraId="7BCEA8F7">
      <w:pPr>
        <w:pStyle w:val="2"/>
        <w:spacing w:before="217" w:line="219" w:lineRule="auto"/>
        <w:ind w:left="414"/>
      </w:pPr>
      <w:r>
        <w:rPr>
          <w:spacing w:val="7"/>
        </w:rPr>
        <w:t>5.乡村教师人才发展研究</w:t>
      </w:r>
    </w:p>
    <w:p w14:paraId="7CA322ED">
      <w:pPr>
        <w:pStyle w:val="2"/>
        <w:spacing w:before="221" w:line="219" w:lineRule="auto"/>
        <w:ind w:left="413"/>
      </w:pPr>
      <w:r>
        <w:rPr>
          <w:spacing w:val="8"/>
        </w:rPr>
        <w:t>6.名师示范引领、辐射带动作用发挥机制研究</w:t>
      </w:r>
    </w:p>
    <w:p w14:paraId="1F491AC1">
      <w:pPr>
        <w:pStyle w:val="2"/>
        <w:spacing w:before="218" w:line="219" w:lineRule="auto"/>
        <w:ind w:left="413"/>
      </w:pPr>
      <w:r>
        <w:rPr>
          <w:spacing w:val="8"/>
        </w:rPr>
        <w:t>7.数字化赋能教师人才成长发展研究</w:t>
      </w:r>
    </w:p>
    <w:p w14:paraId="24B1FD97">
      <w:pPr>
        <w:spacing w:before="220" w:line="226" w:lineRule="auto"/>
        <w:ind w:left="41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四、中小学科学教育专项课题指南</w:t>
      </w:r>
    </w:p>
    <w:p w14:paraId="6013B327">
      <w:pPr>
        <w:pStyle w:val="2"/>
        <w:spacing w:before="209" w:line="219" w:lineRule="auto"/>
        <w:ind w:left="418"/>
      </w:pPr>
      <w:r>
        <w:rPr>
          <w:spacing w:val="8"/>
        </w:rPr>
        <w:t>1.完善中小学科学教育工作长效机制研究</w:t>
      </w:r>
    </w:p>
    <w:p w14:paraId="6F90D906">
      <w:pPr>
        <w:pStyle w:val="2"/>
        <w:spacing w:before="218" w:line="219" w:lineRule="auto"/>
        <w:ind w:left="410"/>
      </w:pPr>
      <w:r>
        <w:rPr>
          <w:spacing w:val="8"/>
        </w:rPr>
        <w:t>2.中小学科学教育课程资源开发研究</w:t>
      </w:r>
    </w:p>
    <w:p w14:paraId="469314D4">
      <w:pPr>
        <w:pStyle w:val="2"/>
        <w:spacing w:before="217" w:line="220" w:lineRule="auto"/>
        <w:ind w:left="423"/>
      </w:pPr>
      <w:r>
        <w:rPr>
          <w:spacing w:val="8"/>
        </w:rPr>
        <w:t>3.中小学科学教育教学方式方法改革创新研究</w:t>
      </w:r>
    </w:p>
    <w:p w14:paraId="50EBA3CA">
      <w:pPr>
        <w:pStyle w:val="2"/>
        <w:spacing w:before="219" w:line="219" w:lineRule="auto"/>
        <w:ind w:left="409"/>
      </w:pPr>
      <w:r>
        <w:rPr>
          <w:spacing w:val="8"/>
        </w:rPr>
        <w:t>4.基于核心素养的中小学科学教育评价研究</w:t>
      </w:r>
    </w:p>
    <w:p w14:paraId="3FFD8E0C">
      <w:pPr>
        <w:pStyle w:val="2"/>
        <w:spacing w:before="220" w:line="219" w:lineRule="auto"/>
        <w:ind w:left="414"/>
      </w:pPr>
      <w:r>
        <w:rPr>
          <w:spacing w:val="8"/>
        </w:rPr>
        <w:t>5.基于中小学科学教育的特色学校发展研究</w:t>
      </w:r>
    </w:p>
    <w:p w14:paraId="7F78E2F4">
      <w:pPr>
        <w:pStyle w:val="2"/>
        <w:spacing w:before="215" w:line="220" w:lineRule="auto"/>
        <w:ind w:left="413"/>
      </w:pPr>
      <w:r>
        <w:rPr>
          <w:spacing w:val="9"/>
        </w:rPr>
        <w:t>6.具备科学家潜质的科技拔尖创新人才发现</w:t>
      </w:r>
      <w:r>
        <w:rPr>
          <w:spacing w:val="8"/>
        </w:rPr>
        <w:t>培育研究</w:t>
      </w:r>
    </w:p>
    <w:p w14:paraId="15A9EE91">
      <w:pPr>
        <w:pStyle w:val="2"/>
        <w:spacing w:before="221" w:line="219" w:lineRule="auto"/>
        <w:ind w:left="413"/>
      </w:pPr>
      <w:r>
        <w:rPr>
          <w:spacing w:val="8"/>
        </w:rPr>
        <w:t>7.中小学科学教育教师队伍建设研究</w:t>
      </w:r>
    </w:p>
    <w:p w14:paraId="3ECBDB38">
      <w:pPr>
        <w:pStyle w:val="2"/>
        <w:spacing w:before="221" w:line="219" w:lineRule="auto"/>
        <w:ind w:left="413"/>
      </w:pPr>
      <w:r>
        <w:rPr>
          <w:spacing w:val="8"/>
        </w:rPr>
        <w:t>8.科学教育社会协同育人发展研究</w:t>
      </w:r>
    </w:p>
    <w:p w14:paraId="49FBC0B4">
      <w:pPr>
        <w:spacing w:before="217" w:line="226" w:lineRule="auto"/>
        <w:ind w:left="40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五、校外教育培训管理专项课题指南</w:t>
      </w:r>
    </w:p>
    <w:p w14:paraId="529BF49A">
      <w:pPr>
        <w:pStyle w:val="2"/>
        <w:spacing w:before="206" w:line="220" w:lineRule="auto"/>
        <w:ind w:left="418"/>
      </w:pPr>
      <w:r>
        <w:rPr>
          <w:spacing w:val="8"/>
        </w:rPr>
        <w:t>1.学科类校外培训隐形变异行为治理研究</w:t>
      </w:r>
    </w:p>
    <w:p w14:paraId="585A2BD0">
      <w:pPr>
        <w:pStyle w:val="2"/>
        <w:spacing w:before="220" w:line="218" w:lineRule="auto"/>
        <w:ind w:left="410"/>
      </w:pPr>
      <w:r>
        <w:rPr>
          <w:spacing w:val="3"/>
        </w:rPr>
        <w:t>2.非学科类校外培训规范管理与学校教育资源补充作用研究</w:t>
      </w:r>
    </w:p>
    <w:p w14:paraId="08EB0B42">
      <w:pPr>
        <w:pStyle w:val="2"/>
        <w:spacing w:before="222" w:line="219" w:lineRule="auto"/>
        <w:ind w:left="423"/>
      </w:pPr>
      <w:r>
        <w:rPr>
          <w:spacing w:val="7"/>
        </w:rPr>
        <w:t>3.校外培训治理的法治保障与执法研究</w:t>
      </w:r>
    </w:p>
    <w:p w14:paraId="29783A46">
      <w:pPr>
        <w:pStyle w:val="2"/>
        <w:spacing w:before="220" w:line="219" w:lineRule="auto"/>
        <w:ind w:left="409"/>
      </w:pPr>
      <w:r>
        <w:rPr>
          <w:spacing w:val="9"/>
        </w:rPr>
        <w:t>4.强化学校教育主阵地作用与校外培训治理联动机制研究</w:t>
      </w:r>
    </w:p>
    <w:p w14:paraId="067A4244">
      <w:pPr>
        <w:spacing w:line="219" w:lineRule="auto"/>
        <w:sectPr>
          <w:footerReference r:id="rId6" w:type="default"/>
          <w:pgSz w:w="11906" w:h="16838"/>
          <w:pgMar w:top="1431" w:right="1360" w:bottom="1750" w:left="1785" w:header="0" w:footer="1359" w:gutter="0"/>
          <w:cols w:space="720" w:num="1"/>
        </w:sectPr>
      </w:pPr>
    </w:p>
    <w:p w14:paraId="0B38C9E1">
      <w:pPr>
        <w:spacing w:line="264" w:lineRule="auto"/>
        <w:rPr>
          <w:rFonts w:ascii="Arial"/>
          <w:sz w:val="21"/>
        </w:rPr>
      </w:pPr>
    </w:p>
    <w:p w14:paraId="04E644DF">
      <w:pPr>
        <w:spacing w:line="264" w:lineRule="auto"/>
        <w:rPr>
          <w:rFonts w:ascii="Arial"/>
          <w:sz w:val="21"/>
        </w:rPr>
      </w:pPr>
    </w:p>
    <w:p w14:paraId="2FE6B463">
      <w:pPr>
        <w:pStyle w:val="2"/>
        <w:spacing w:before="101" w:line="219" w:lineRule="auto"/>
        <w:ind w:left="651"/>
      </w:pPr>
      <w:r>
        <w:rPr>
          <w:spacing w:val="8"/>
        </w:rPr>
        <w:t>5.教育焦虑的成因及家校社协同减负纾困机制研究</w:t>
      </w:r>
    </w:p>
    <w:p w14:paraId="36F68180">
      <w:pPr>
        <w:pStyle w:val="2"/>
        <w:spacing w:before="220" w:line="219" w:lineRule="auto"/>
        <w:ind w:left="650"/>
      </w:pPr>
      <w:r>
        <w:rPr>
          <w:spacing w:val="8"/>
        </w:rPr>
        <w:t>6.校外培训治理促进教育公平的实效性评价研究</w:t>
      </w:r>
    </w:p>
    <w:p w14:paraId="583789DB">
      <w:pPr>
        <w:pStyle w:val="2"/>
        <w:spacing w:before="217" w:line="219" w:lineRule="auto"/>
        <w:ind w:left="650"/>
      </w:pPr>
      <w:r>
        <w:rPr>
          <w:spacing w:val="-1"/>
        </w:rPr>
        <w:t>7.“双减”后中小学生课余时间利用与全面发展情况追踪研究</w:t>
      </w:r>
    </w:p>
    <w:p w14:paraId="6EF86C36">
      <w:pPr>
        <w:pStyle w:val="2"/>
        <w:spacing w:before="219" w:line="285" w:lineRule="auto"/>
        <w:ind w:left="3" w:right="85" w:firstLine="647"/>
      </w:pPr>
      <w:r>
        <w:rPr>
          <w:spacing w:val="11"/>
        </w:rPr>
        <w:t>8.探索区域内（省域、市域或县域）校外培训治理体系与长</w:t>
      </w:r>
      <w:r>
        <w:rPr>
          <w:spacing w:val="3"/>
        </w:rPr>
        <w:t xml:space="preserve"> </w:t>
      </w:r>
      <w:r>
        <w:rPr>
          <w:spacing w:val="7"/>
        </w:rPr>
        <w:t>效机制建设研究</w:t>
      </w:r>
    </w:p>
    <w:p w14:paraId="7926A934">
      <w:pPr>
        <w:spacing w:line="245" w:lineRule="auto"/>
        <w:rPr>
          <w:rFonts w:ascii="Arial"/>
          <w:sz w:val="21"/>
        </w:rPr>
      </w:pPr>
    </w:p>
    <w:p w14:paraId="65C4B347">
      <w:pPr>
        <w:spacing w:line="245" w:lineRule="auto"/>
        <w:rPr>
          <w:rFonts w:ascii="Arial"/>
          <w:sz w:val="21"/>
        </w:rPr>
      </w:pPr>
    </w:p>
    <w:p w14:paraId="3BEB6D7B">
      <w:pPr>
        <w:spacing w:line="245" w:lineRule="auto"/>
        <w:rPr>
          <w:rFonts w:ascii="Arial"/>
          <w:sz w:val="21"/>
        </w:rPr>
      </w:pPr>
    </w:p>
    <w:p w14:paraId="055E3220">
      <w:pPr>
        <w:spacing w:before="102" w:line="353" w:lineRule="auto"/>
        <w:ind w:firstLine="575"/>
        <w:rPr>
          <w:rFonts w:ascii="华文楷体" w:hAnsi="华文楷体" w:eastAsia="华文楷体" w:cs="华文楷体"/>
          <w:sz w:val="28"/>
          <w:szCs w:val="28"/>
        </w:rPr>
        <w:sectPr>
          <w:footerReference r:id="rId7" w:type="default"/>
          <w:pgSz w:w="11906" w:h="16838"/>
          <w:pgMar w:top="1431" w:right="1258" w:bottom="1750" w:left="1548" w:header="0" w:footer="1359" w:gutter="0"/>
          <w:cols w:space="720" w:num="1"/>
        </w:sectPr>
      </w:pPr>
      <w:r>
        <w:rPr>
          <w:rFonts w:ascii="华文楷体" w:hAnsi="华文楷体" w:eastAsia="华文楷体" w:cs="华文楷体"/>
          <w:spacing w:val="-1"/>
          <w:sz w:val="28"/>
          <w:szCs w:val="28"/>
        </w:rPr>
        <w:t>注：</w:t>
      </w:r>
      <w:r>
        <w:rPr>
          <w:rFonts w:ascii="华文楷体" w:hAnsi="华文楷体" w:eastAsia="华文楷体" w:cs="华文楷体"/>
          <w:spacing w:val="-41"/>
          <w:sz w:val="28"/>
          <w:szCs w:val="28"/>
        </w:rPr>
        <w:t xml:space="preserve"> </w:t>
      </w:r>
      <w:r>
        <w:rPr>
          <w:rFonts w:ascii="华文楷体" w:hAnsi="华文楷体" w:eastAsia="华文楷体" w:cs="华文楷体"/>
          <w:spacing w:val="-1"/>
          <w:sz w:val="28"/>
          <w:szCs w:val="28"/>
        </w:rPr>
        <w:t>上述指南仅是专项课题的选题方向，</w:t>
      </w:r>
      <w:r>
        <w:rPr>
          <w:rFonts w:ascii="华文楷体" w:hAnsi="华文楷体" w:eastAsia="华文楷体" w:cs="华文楷体"/>
          <w:spacing w:val="-15"/>
          <w:sz w:val="28"/>
          <w:szCs w:val="28"/>
        </w:rPr>
        <w:t xml:space="preserve"> </w:t>
      </w:r>
      <w:r>
        <w:rPr>
          <w:rFonts w:ascii="华文楷体" w:hAnsi="华文楷体" w:eastAsia="华文楷体" w:cs="华文楷体"/>
          <w:spacing w:val="-1"/>
          <w:sz w:val="28"/>
          <w:szCs w:val="28"/>
        </w:rPr>
        <w:t>申请者不</w:t>
      </w:r>
      <w:r>
        <w:rPr>
          <w:rFonts w:ascii="华文楷体" w:hAnsi="华文楷体" w:eastAsia="华文楷体" w:cs="华文楷体"/>
          <w:spacing w:val="-2"/>
          <w:sz w:val="28"/>
          <w:szCs w:val="28"/>
        </w:rPr>
        <w:t>应直接将其作为课</w:t>
      </w:r>
      <w:r>
        <w:rPr>
          <w:rFonts w:ascii="华文楷体" w:hAnsi="华文楷体" w:eastAsia="华文楷体" w:cs="华文楷体"/>
          <w:sz w:val="28"/>
          <w:szCs w:val="28"/>
        </w:rPr>
        <w:t xml:space="preserve">  </w:t>
      </w:r>
      <w:r>
        <w:rPr>
          <w:rFonts w:ascii="华文楷体" w:hAnsi="华文楷体" w:eastAsia="华文楷体" w:cs="华文楷体"/>
          <w:spacing w:val="-4"/>
          <w:sz w:val="28"/>
          <w:szCs w:val="28"/>
        </w:rPr>
        <w:t>题名称，可根据指南提供的方向，结合申报人的</w:t>
      </w:r>
      <w:r>
        <w:rPr>
          <w:rFonts w:ascii="华文楷体" w:hAnsi="华文楷体" w:eastAsia="华文楷体" w:cs="华文楷体"/>
          <w:spacing w:val="-5"/>
          <w:sz w:val="28"/>
          <w:szCs w:val="28"/>
        </w:rPr>
        <w:t>具体问题等确定申报课题。</w:t>
      </w:r>
      <w:bookmarkStart w:id="0" w:name="_GoBack"/>
      <w:bookmarkEnd w:id="0"/>
    </w:p>
    <w:p w14:paraId="139369FF">
      <w:pPr>
        <w:spacing w:before="192" w:line="743" w:lineRule="exact"/>
      </w:pPr>
    </w:p>
    <w:sectPr>
      <w:footerReference r:id="rId8" w:type="default"/>
      <w:pgSz w:w="11906" w:h="16838"/>
      <w:pgMar w:top="1431" w:right="1411" w:bottom="400" w:left="1531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D86460">
    <w:pPr>
      <w:pStyle w:val="2"/>
      <w:spacing w:line="242" w:lineRule="auto"/>
      <w:rPr>
        <w:sz w:val="29"/>
        <w:szCs w:val="29"/>
      </w:rPr>
    </w:pPr>
    <w:r>
      <w:rPr>
        <w:spacing w:val="-13"/>
        <w:sz w:val="29"/>
        <w:szCs w:val="29"/>
      </w:rPr>
      <w:t>—</w:t>
    </w:r>
    <w:r>
      <w:rPr>
        <w:spacing w:val="30"/>
        <w:sz w:val="29"/>
        <w:szCs w:val="29"/>
      </w:rPr>
      <w:t xml:space="preserve"> </w:t>
    </w:r>
    <w:r>
      <w:rPr>
        <w:spacing w:val="-13"/>
        <w:sz w:val="29"/>
        <w:szCs w:val="29"/>
      </w:rPr>
      <w:t>8</w:t>
    </w:r>
    <w:r>
      <w:rPr>
        <w:spacing w:val="31"/>
        <w:sz w:val="29"/>
        <w:szCs w:val="29"/>
      </w:rPr>
      <w:t xml:space="preserve"> </w:t>
    </w:r>
    <w:r>
      <w:rPr>
        <w:spacing w:val="-13"/>
        <w:sz w:val="29"/>
        <w:szCs w:val="29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7B6145">
    <w:pPr>
      <w:pStyle w:val="2"/>
      <w:spacing w:line="242" w:lineRule="auto"/>
      <w:jc w:val="right"/>
      <w:rPr>
        <w:sz w:val="29"/>
        <w:szCs w:val="29"/>
      </w:rPr>
    </w:pPr>
    <w:r>
      <w:rPr>
        <w:spacing w:val="-18"/>
        <w:sz w:val="29"/>
        <w:szCs w:val="29"/>
      </w:rPr>
      <w:t>—</w:t>
    </w:r>
    <w:r>
      <w:rPr>
        <w:spacing w:val="32"/>
        <w:sz w:val="29"/>
        <w:szCs w:val="29"/>
      </w:rPr>
      <w:t xml:space="preserve"> </w:t>
    </w:r>
    <w:r>
      <w:rPr>
        <w:spacing w:val="-18"/>
        <w:sz w:val="29"/>
        <w:szCs w:val="29"/>
      </w:rPr>
      <w:t>9</w:t>
    </w:r>
    <w:r>
      <w:rPr>
        <w:spacing w:val="31"/>
        <w:sz w:val="29"/>
        <w:szCs w:val="29"/>
      </w:rPr>
      <w:t xml:space="preserve"> </w:t>
    </w:r>
    <w:r>
      <w:rPr>
        <w:spacing w:val="-18"/>
        <w:sz w:val="29"/>
        <w:szCs w:val="29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EE11E">
    <w:pPr>
      <w:pStyle w:val="2"/>
      <w:spacing w:line="242" w:lineRule="auto"/>
      <w:ind w:left="8"/>
      <w:rPr>
        <w:sz w:val="29"/>
        <w:szCs w:val="29"/>
      </w:rPr>
    </w:pPr>
    <w:r>
      <w:rPr>
        <w:spacing w:val="-10"/>
        <w:sz w:val="29"/>
        <w:szCs w:val="29"/>
      </w:rPr>
      <w:t>—</w:t>
    </w:r>
    <w:r>
      <w:rPr>
        <w:spacing w:val="35"/>
        <w:sz w:val="29"/>
        <w:szCs w:val="29"/>
      </w:rPr>
      <w:t xml:space="preserve"> </w:t>
    </w:r>
    <w:r>
      <w:rPr>
        <w:spacing w:val="-10"/>
        <w:sz w:val="29"/>
        <w:szCs w:val="29"/>
      </w:rPr>
      <w:t>10</w:t>
    </w:r>
    <w:r>
      <w:rPr>
        <w:spacing w:val="33"/>
        <w:sz w:val="29"/>
        <w:szCs w:val="29"/>
      </w:rPr>
      <w:t xml:space="preserve"> </w:t>
    </w:r>
    <w:r>
      <w:rPr>
        <w:spacing w:val="-10"/>
        <w:sz w:val="29"/>
        <w:szCs w:val="29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3A4B9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4D93C55"/>
    <w:rsid w:val="21C825CA"/>
    <w:rsid w:val="238248DB"/>
    <w:rsid w:val="24EA62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4291</Words>
  <Characters>4418</Characters>
  <TotalTime>0</TotalTime>
  <ScaleCrop>false</ScaleCrop>
  <LinksUpToDate>false</LinksUpToDate>
  <CharactersWithSpaces>4936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2025-09-17T10:40:00Z</dcterms:created>
  <dc:creator>文印员</dc:creator>
  <cp:lastModifiedBy>尔东雨田（乐丘堂主）</cp:lastModifiedBy>
  <dcterms:modified xsi:type="dcterms:W3CDTF">2025-09-18T02:19:06Z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2025-09-18T08:58:48Z</vt:filetime>
  </property>
  <property fmtid="{D5CDD505-2E9C-101B-9397-08002B2CF9AE}" pid="4" name="KSOTemplateDocerSaveRecord">
    <vt:lpwstr>eyJoZGlkIjoiZGQxMmM5ZjM0YzQwMWFlMjM4YjE2ZWFiMDBkMmZhYjYiLCJ1c2VySWQiOiIzNDIwMDY5OTcifQ==</vt:lpwstr>
  </property>
  <property fmtid="{D5CDD505-2E9C-101B-9397-08002B2CF9AE}" pid="5" name="KSOProductBuildVer">
    <vt:lpwstr>2052-12.1.0.22529</vt:lpwstr>
  </property>
  <property fmtid="{D5CDD505-2E9C-101B-9397-08002B2CF9AE}" pid="6" name="ICV">
    <vt:lpwstr>B8A41CFBB97C4DB58DF2210F6F63B03C_12</vt:lpwstr>
  </property>
</Properties>
</file>